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21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31"/>
        <w:gridCol w:w="160"/>
        <w:gridCol w:w="850"/>
        <w:gridCol w:w="427"/>
        <w:gridCol w:w="837"/>
        <w:gridCol w:w="1493"/>
        <w:gridCol w:w="573"/>
        <w:gridCol w:w="309"/>
        <w:gridCol w:w="1311"/>
        <w:gridCol w:w="720"/>
        <w:gridCol w:w="910"/>
      </w:tblGrid>
      <w:tr w:rsidR="00EE19FA" w:rsidRPr="00213B93" w:rsidTr="00213B93">
        <w:trPr>
          <w:trHeight w:val="222"/>
          <w:jc w:val="center"/>
        </w:trPr>
        <w:tc>
          <w:tcPr>
            <w:tcW w:w="2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Име и презиме</w:t>
            </w:r>
          </w:p>
        </w:tc>
        <w:tc>
          <w:tcPr>
            <w:tcW w:w="5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Eмилија Дубљанин Распоповић</w:t>
            </w: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2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Звање</w:t>
            </w:r>
          </w:p>
        </w:tc>
        <w:tc>
          <w:tcPr>
            <w:tcW w:w="5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Ванредни професор</w:t>
            </w: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2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Ужа научна област</w:t>
            </w:r>
          </w:p>
        </w:tc>
        <w:tc>
          <w:tcPr>
            <w:tcW w:w="5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Физикална медицина и рехабилитација</w:t>
            </w:r>
          </w:p>
        </w:tc>
      </w:tr>
      <w:tr w:rsidR="00EE19FA" w:rsidRPr="00213B93" w:rsidTr="00213B93">
        <w:trPr>
          <w:trHeight w:val="189"/>
          <w:jc w:val="center"/>
        </w:trPr>
        <w:tc>
          <w:tcPr>
            <w:tcW w:w="1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Област 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Ужа научна односно уметничка област</w:t>
            </w: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1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2018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Medicinski fakultet Univerziteta u Beogradu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Medicina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Fizikalna medicina i rehabilitacija</w:t>
            </w: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1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2011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Medicinski fakultet Univerziteta u Beogradu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Medicina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Fizikalna medicina i rehabilitacija</w:t>
            </w: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1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2004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Medicinski fakultet Univerziteta u Beogradu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Medicina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Fizikalna medicina i rehabilitacija</w:t>
            </w: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1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Мастер диплома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1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Диплома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1999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Medicinski fakultet Univerziteta u Beogradu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213B93" w:rsidP="00213B9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eastAsia="Cambria" w:cs="Times New Roman"/>
                <w:sz w:val="18"/>
                <w:szCs w:val="18"/>
              </w:rPr>
              <w:t>Medicina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81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које наставник држи на докторским студијама </w:t>
            </w:r>
          </w:p>
        </w:tc>
      </w:tr>
      <w:tr w:rsidR="00EE19FA" w:rsidRPr="00213B93" w:rsidTr="00B03C02">
        <w:trPr>
          <w:trHeight w:val="222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 xml:space="preserve">Ознака 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Назив предмета</w:t>
            </w:r>
          </w:p>
        </w:tc>
      </w:tr>
      <w:tr w:rsidR="00EE19FA" w:rsidRPr="00213B93" w:rsidTr="00B03C02">
        <w:trPr>
          <w:trHeight w:val="222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B03C02" w:rsidRDefault="00B03C02" w:rsidP="00213B93">
            <w:pPr>
              <w:rPr>
                <w:rFonts w:cs="Times New Roman"/>
                <w:sz w:val="18"/>
                <w:szCs w:val="18"/>
                <w:lang/>
              </w:rPr>
            </w:pPr>
            <w:r>
              <w:rPr>
                <w:rFonts w:cs="Times New Roman"/>
                <w:sz w:val="18"/>
                <w:szCs w:val="18"/>
              </w:rPr>
              <w:t>Реха_М03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B03C02" w:rsidRDefault="00B03C02" w:rsidP="00213B93">
            <w:pPr>
              <w:rPr>
                <w:rFonts w:cs="Times New Roman"/>
                <w:sz w:val="18"/>
                <w:szCs w:val="18"/>
                <w:lang/>
              </w:rPr>
            </w:pPr>
            <w:r>
              <w:rPr>
                <w:rFonts w:cs="Times New Roman"/>
                <w:sz w:val="18"/>
                <w:szCs w:val="18"/>
                <w:lang/>
              </w:rPr>
              <w:t>Онеспособљеност и истраживања у рехабилитацији</w:t>
            </w:r>
          </w:p>
        </w:tc>
      </w:tr>
      <w:tr w:rsidR="00EE19FA" w:rsidRPr="00213B93" w:rsidTr="00B03C02">
        <w:trPr>
          <w:trHeight w:val="222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B03C02" w:rsidRDefault="00B03C02" w:rsidP="00213B93">
            <w:pPr>
              <w:rPr>
                <w:rFonts w:cs="Times New Roman"/>
                <w:sz w:val="18"/>
                <w:szCs w:val="18"/>
                <w:lang/>
              </w:rPr>
            </w:pPr>
            <w:r>
              <w:rPr>
                <w:rFonts w:cs="Times New Roman"/>
                <w:sz w:val="18"/>
                <w:szCs w:val="18"/>
                <w:lang/>
              </w:rPr>
              <w:t>Реха_е04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B03C02" w:rsidRDefault="00B03C02" w:rsidP="00213B93">
            <w:pPr>
              <w:rPr>
                <w:rFonts w:cs="Times New Roman"/>
                <w:sz w:val="18"/>
                <w:szCs w:val="18"/>
                <w:lang/>
              </w:rPr>
            </w:pPr>
            <w:r>
              <w:rPr>
                <w:rFonts w:cs="Times New Roman"/>
                <w:sz w:val="18"/>
                <w:szCs w:val="18"/>
                <w:lang/>
              </w:rPr>
              <w:t>Бол у рехабилитацији:модалитети и контрола бола</w:t>
            </w:r>
          </w:p>
        </w:tc>
      </w:tr>
      <w:tr w:rsidR="00EE19FA" w:rsidRPr="00213B93" w:rsidTr="00B03C02">
        <w:trPr>
          <w:trHeight w:val="222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B03C02" w:rsidRDefault="00B03C02" w:rsidP="00213B93">
            <w:pPr>
              <w:rPr>
                <w:rFonts w:cs="Times New Roman"/>
                <w:sz w:val="18"/>
                <w:szCs w:val="18"/>
                <w:lang/>
              </w:rPr>
            </w:pPr>
            <w:r>
              <w:rPr>
                <w:rFonts w:cs="Times New Roman"/>
                <w:sz w:val="18"/>
                <w:szCs w:val="18"/>
                <w:lang/>
              </w:rPr>
              <w:t>Реха_е08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B03C02" w:rsidRDefault="00B03C02" w:rsidP="00213B93">
            <w:pPr>
              <w:rPr>
                <w:rFonts w:cs="Times New Roman"/>
                <w:sz w:val="18"/>
                <w:szCs w:val="18"/>
                <w:lang/>
              </w:rPr>
            </w:pPr>
            <w:r>
              <w:rPr>
                <w:rFonts w:cs="Times New Roman"/>
                <w:sz w:val="18"/>
                <w:szCs w:val="18"/>
                <w:lang/>
              </w:rPr>
              <w:t>Превентивне мере и терапијске интервенције у мишићноскелетној рехабилитацији</w:t>
            </w:r>
          </w:p>
        </w:tc>
      </w:tr>
      <w:tr w:rsidR="00EE19FA" w:rsidRPr="00213B93" w:rsidTr="00213B93">
        <w:trPr>
          <w:trHeight w:val="442"/>
          <w:jc w:val="center"/>
        </w:trPr>
        <w:tc>
          <w:tcPr>
            <w:tcW w:w="81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Најзначајнији радови </w:t>
            </w:r>
            <w:r w:rsidRPr="00213B93">
              <w:rPr>
                <w:rFonts w:cs="Times New Roman"/>
                <w:b/>
                <w:bCs/>
                <w:sz w:val="18"/>
                <w:szCs w:val="18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pStyle w:val="Heading1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Kadija M, Milovanović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D, Bumba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širević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lang w:val="es-ES_tradnl"/>
              </w:rPr>
              <w:t>M, Carevi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ć Z,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Dubljanin-Raspopović E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, Stijak L. </w:t>
            </w:r>
            <w:hyperlink r:id="rId6" w:history="1">
              <w:r w:rsidRPr="00213B9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Length of the femoral tunnel in anatomic ACL reconstruction: comparison of three techniques.</w:t>
              </w:r>
            </w:hyperlink>
            <w:r w:rsidRPr="00213B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>Knee Surg Sports Traumatol Arthrosc. 2017;25(5):1606-1612. M21, IF 3.083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Р</w:t>
            </w:r>
          </w:p>
        </w:tc>
      </w:tr>
      <w:tr w:rsidR="00EE19FA" w:rsidRPr="00213B93" w:rsidTr="00213B93">
        <w:trPr>
          <w:trHeight w:val="450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pStyle w:val="Heading1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Nedeljković U,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Dubljanin Raspopović E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, Ilić N, Tomanović Vujadinović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S, Soldatovi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>ć I, Drulović J. Effectivness of rehabilitation in multiple sclerosis relapse on fatigue, self-efficacy and physical activity. Acta Neurol Belg. 2016,116(3):309-15. M23, IF =1.066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180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pStyle w:val="Heading1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Marusic V, Denic-Markovic LJ, Djuric O, Protic D,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Dubljanin Raspopovic E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. Knowledge about blood-borne pathogens and the prevalence of needle stick injuries among medical students in Serbia. Zdr Varst 2017, 56(3):179-184.M23, IF=0.203    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450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widowControl/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Ilić </w:t>
            </w:r>
            <w:r w:rsidRPr="00213B93">
              <w:rPr>
                <w:rFonts w:cs="Times New Roman"/>
                <w:sz w:val="18"/>
                <w:szCs w:val="18"/>
                <w:lang w:val="nl-NL"/>
              </w:rPr>
              <w:t xml:space="preserve">NV, </w:t>
            </w:r>
            <w:r w:rsidRPr="00213B93">
              <w:rPr>
                <w:rFonts w:cs="Times New Roman"/>
                <w:sz w:val="18"/>
                <w:szCs w:val="18"/>
                <w:u w:val="single"/>
              </w:rPr>
              <w:t>Dubljanin-Raspopović E</w:t>
            </w:r>
            <w:r w:rsidRPr="00213B93">
              <w:rPr>
                <w:rFonts w:cs="Times New Roman"/>
                <w:sz w:val="18"/>
                <w:szCs w:val="18"/>
              </w:rPr>
              <w:t xml:space="preserve">, Nedeljković U, Tomanović-Vujadinović S, Milanović </w:t>
            </w:r>
            <w:r w:rsidRPr="00213B93">
              <w:rPr>
                <w:rFonts w:cs="Times New Roman"/>
                <w:sz w:val="18"/>
                <w:szCs w:val="18"/>
                <w:lang w:val="pt-PT"/>
              </w:rPr>
              <w:t>SD, Petroni</w:t>
            </w:r>
            <w:r w:rsidRPr="00213B93">
              <w:rPr>
                <w:rFonts w:cs="Times New Roman"/>
                <w:sz w:val="18"/>
                <w:szCs w:val="18"/>
              </w:rPr>
              <w:t xml:space="preserve">ć-Marković I, Ilić </w:t>
            </w:r>
            <w:r w:rsidRPr="00213B93">
              <w:rPr>
                <w:rFonts w:cs="Times New Roman"/>
                <w:sz w:val="18"/>
                <w:szCs w:val="18"/>
                <w:lang w:val="da-DK"/>
              </w:rPr>
              <w:t xml:space="preserve">TV. </w:t>
            </w:r>
            <w:hyperlink r:id="rId7" w:history="1">
              <w:r w:rsidRPr="00213B93">
                <w:rPr>
                  <w:rFonts w:cs="Times New Roman"/>
                  <w:sz w:val="18"/>
                  <w:szCs w:val="18"/>
                </w:rPr>
                <w:t>Effects of anodal tDCS and occupational therapy on fine motor skill deficits in patients with chronic stroke.</w:t>
              </w:r>
            </w:hyperlink>
            <w:r w:rsidRPr="00213B93">
              <w:rPr>
                <w:rFonts w:cs="Times New Roman"/>
                <w:sz w:val="18"/>
                <w:szCs w:val="18"/>
              </w:rPr>
              <w:t xml:space="preserve"> Restor Neurol Neurosci. 2016 Nov 22;34(6):935-945. M22, IF=2.526 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531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widowControl/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Tulic G, </w:t>
            </w:r>
            <w:r w:rsidRPr="00213B93">
              <w:rPr>
                <w:rFonts w:cs="Times New Roman"/>
                <w:sz w:val="18"/>
                <w:szCs w:val="18"/>
                <w:u w:val="single"/>
              </w:rPr>
              <w:t>Dubljanin-Raspopovic E,</w:t>
            </w:r>
            <w:r w:rsidRPr="00213B93">
              <w:rPr>
                <w:rFonts w:cs="Times New Roman"/>
                <w:sz w:val="18"/>
                <w:szCs w:val="18"/>
              </w:rPr>
              <w:t xml:space="preserve"> Tomanovic-Vujadinovic S, Sopta J, Todorovic A,     Manojlovic R. </w:t>
            </w:r>
            <w:hyperlink r:id="rId8" w:history="1">
              <w:r w:rsidRPr="00213B93">
                <w:rPr>
                  <w:rFonts w:cs="Times New Roman"/>
                  <w:sz w:val="18"/>
                  <w:szCs w:val="18"/>
                </w:rPr>
                <w:t>Prolonged pre-operative hospital stay as a predictive factor for early outcomes and mortality after geriatric hip fracture surgery: a single institution open prospective cohort study.</w:t>
              </w:r>
            </w:hyperlink>
            <w:r w:rsidRPr="00213B93">
              <w:rPr>
                <w:rFonts w:cs="Times New Roman"/>
                <w:sz w:val="18"/>
                <w:szCs w:val="18"/>
              </w:rPr>
              <w:t xml:space="preserve"> Int Orthop. 2017 Sep 2018;42(1):25-31.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792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widowControl/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Selakovic I, </w:t>
            </w:r>
            <w:r w:rsidRPr="00213B93">
              <w:rPr>
                <w:rFonts w:cs="Times New Roman"/>
                <w:sz w:val="18"/>
                <w:szCs w:val="18"/>
                <w:u w:val="single"/>
              </w:rPr>
              <w:t>Dubljanin-Raspopovic E,</w:t>
            </w:r>
            <w:r w:rsidRPr="00213B93">
              <w:rPr>
                <w:rFonts w:cs="Times New Roman"/>
                <w:sz w:val="18"/>
                <w:szCs w:val="18"/>
              </w:rPr>
              <w:t xml:space="preserve"> Markovic-Denic L, Marusic V, Cirkovic A, Kadija M, Tomanovic-Vujadinovic S, Tulic G. Can early assessment of hand grip strength in older  hip fracture patients predict functional outcome? PLoS One. 2019 Aug 1;14(8):e0213223.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819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widowControl/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Marusic V, Markovic-Denic L, Djuric O, Cirkovic A, Nikolic V, </w:t>
            </w:r>
            <w:r w:rsidRPr="00213B93">
              <w:rPr>
                <w:rFonts w:cs="Times New Roman"/>
                <w:sz w:val="18"/>
                <w:szCs w:val="18"/>
                <w:u w:val="single"/>
              </w:rPr>
              <w:t>Dubljanin-Raspopovic E</w:t>
            </w:r>
            <w:r w:rsidRPr="00213B93">
              <w:rPr>
                <w:rFonts w:cs="Times New Roman"/>
                <w:sz w:val="18"/>
                <w:szCs w:val="18"/>
              </w:rPr>
              <w:t>,</w:t>
            </w:r>
            <w:r w:rsidR="00213B93">
              <w:rPr>
                <w:rFonts w:cs="Times New Roman"/>
                <w:sz w:val="18"/>
                <w:szCs w:val="18"/>
              </w:rPr>
              <w:t xml:space="preserve"> </w:t>
            </w:r>
            <w:r w:rsidRPr="00213B93">
              <w:rPr>
                <w:rFonts w:cs="Times New Roman"/>
                <w:sz w:val="18"/>
                <w:szCs w:val="18"/>
              </w:rPr>
              <w:t xml:space="preserve">Kadija M. </w:t>
            </w:r>
            <w:hyperlink r:id="rId9" w:history="1">
              <w:r w:rsidRPr="00213B93">
                <w:rPr>
                  <w:rStyle w:val="Hyperlink1"/>
                  <w:rFonts w:cs="Times New Roman"/>
                  <w:sz w:val="18"/>
                  <w:szCs w:val="18"/>
                </w:rPr>
                <w:t>Incidence and Risk Factors of 30-Day Surgical Site Infection after Primary Total Joint Arthroplasty in a Middle-Income Country: A Single-Center Experience.</w:t>
              </w:r>
            </w:hyperlink>
            <w:r w:rsidRPr="00213B93">
              <w:rPr>
                <w:rFonts w:cs="Times New Roman"/>
                <w:sz w:val="18"/>
                <w:szCs w:val="18"/>
              </w:rPr>
              <w:t>Int J Environ Res   Public Health. 2021 Jan 20;18(3):E863.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792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widowControl/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  <w:u w:val="single"/>
              </w:rPr>
              <w:t>Dubljanin Raspopović E</w:t>
            </w:r>
            <w:r w:rsidRPr="00213B93">
              <w:rPr>
                <w:rFonts w:cs="Times New Roman"/>
                <w:sz w:val="18"/>
                <w:szCs w:val="18"/>
              </w:rPr>
              <w:t>, Meissner W, Zaslansky R, Kadija M, Tomanović Vujadinović S,</w:t>
            </w:r>
          </w:p>
          <w:p w:rsidR="00EE19FA" w:rsidRPr="00213B93" w:rsidRDefault="00603B85" w:rsidP="00213B93">
            <w:pPr>
              <w:widowControl/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 Tulić G. </w:t>
            </w:r>
            <w:hyperlink r:id="rId10" w:history="1">
              <w:r w:rsidRPr="00213B93">
                <w:rPr>
                  <w:rFonts w:cs="Times New Roman"/>
                  <w:sz w:val="18"/>
                  <w:szCs w:val="18"/>
                </w:rPr>
                <w:t>Associations between early postoperative pain outcome measures and late functional outcomes in patients after knee arthroplasty.</w:t>
              </w:r>
            </w:hyperlink>
            <w:r w:rsidRPr="00213B93">
              <w:rPr>
                <w:rFonts w:cs="Times New Roman"/>
                <w:color w:val="4C7F54"/>
                <w:sz w:val="18"/>
                <w:szCs w:val="18"/>
              </w:rPr>
              <w:t xml:space="preserve"> </w:t>
            </w:r>
            <w:r w:rsidRPr="00213B93">
              <w:rPr>
                <w:rFonts w:cs="Times New Roman"/>
                <w:sz w:val="18"/>
                <w:szCs w:val="18"/>
              </w:rPr>
              <w:t>PLoS One. 2021 Jul 28;16(7):e0253147.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20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5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81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b/>
                <w:bCs/>
                <w:sz w:val="18"/>
                <w:szCs w:val="18"/>
              </w:rPr>
              <w:t>Збирни подаци научне активност наставника</w:t>
            </w: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4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Укупан број цитата, без аутоцитата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EE19FA" w:rsidP="00213B93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4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Укупан број радова са SCI (или SSCI) листе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eastAsia="Cambria" w:cs="Times New Roman"/>
                <w:sz w:val="18"/>
                <w:szCs w:val="18"/>
              </w:rPr>
              <w:t>26</w:t>
            </w:r>
          </w:p>
        </w:tc>
      </w:tr>
      <w:tr w:rsidR="00EE19FA" w:rsidRPr="00213B93" w:rsidTr="00213B93">
        <w:trPr>
          <w:trHeight w:val="442"/>
          <w:jc w:val="center"/>
        </w:trPr>
        <w:tc>
          <w:tcPr>
            <w:tcW w:w="4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Домаћи 1</w:t>
            </w:r>
          </w:p>
        </w:tc>
        <w:tc>
          <w:tcPr>
            <w:tcW w:w="2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Међународни</w:t>
            </w:r>
          </w:p>
        </w:tc>
      </w:tr>
      <w:tr w:rsidR="00EE19FA" w:rsidRPr="00213B93" w:rsidTr="00213B93">
        <w:trPr>
          <w:trHeight w:val="963"/>
          <w:jc w:val="center"/>
        </w:trPr>
        <w:tc>
          <w:tcPr>
            <w:tcW w:w="4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3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pStyle w:val="Heading4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  <w:r w:rsidRPr="00213B9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Barca Science Week, Camp Not, Barcelona, Španija, 2017 Odeljenje za anesteziju i hiruršku intenzivnu medicinu, Campus Benjamin Franklin, Charite-Universitatsmedizin Berlin, Nemačka, 2011 </w:t>
            </w:r>
            <w:r w:rsidRPr="00213B93">
              <w:rPr>
                <w:rFonts w:ascii="Times New Roman" w:hAnsi="Times New Roman" w:cs="Times New Roman"/>
                <w:sz w:val="18"/>
                <w:szCs w:val="18"/>
              </w:rPr>
              <w:t xml:space="preserve"> EFIC Autumn Pain School, Klagenfurt, Austria, 2010  Montescano Pain School, Montescano, Italy</w:t>
            </w: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81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Други подаци које сматрате релевантним</w:t>
            </w:r>
          </w:p>
        </w:tc>
      </w:tr>
      <w:tr w:rsidR="00EE19FA" w:rsidRPr="00213B93" w:rsidTr="00213B93">
        <w:trPr>
          <w:trHeight w:val="222"/>
          <w:jc w:val="center"/>
        </w:trPr>
        <w:tc>
          <w:tcPr>
            <w:tcW w:w="81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9FA" w:rsidRPr="00213B93" w:rsidRDefault="00603B85" w:rsidP="00213B93">
            <w:pPr>
              <w:rPr>
                <w:rFonts w:cs="Times New Roman"/>
                <w:sz w:val="18"/>
                <w:szCs w:val="18"/>
              </w:rPr>
            </w:pPr>
            <w:r w:rsidRPr="00213B93">
              <w:rPr>
                <w:rFonts w:cs="Times New Roman"/>
                <w:sz w:val="18"/>
                <w:szCs w:val="18"/>
              </w:rPr>
              <w:t>Максимална дужине не сме бити већа од  1 странице А4</w:t>
            </w:r>
          </w:p>
        </w:tc>
      </w:tr>
    </w:tbl>
    <w:p w:rsidR="00EE19FA" w:rsidRDefault="00EE19FA" w:rsidP="00213B93">
      <w:pPr>
        <w:jc w:val="center"/>
      </w:pPr>
    </w:p>
    <w:sectPr w:rsidR="00EE19FA" w:rsidSect="00EE19FA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A2C" w:rsidRDefault="00913A2C" w:rsidP="00EE19FA">
      <w:r>
        <w:separator/>
      </w:r>
    </w:p>
  </w:endnote>
  <w:endnote w:type="continuationSeparator" w:id="0">
    <w:p w:rsidR="00913A2C" w:rsidRDefault="00913A2C" w:rsidP="00EE1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9FA" w:rsidRDefault="00EE19FA">
    <w:pPr>
      <w:pStyle w:val="Kopf-undFuzeilen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A2C" w:rsidRDefault="00913A2C" w:rsidP="00EE19FA">
      <w:r>
        <w:separator/>
      </w:r>
    </w:p>
  </w:footnote>
  <w:footnote w:type="continuationSeparator" w:id="0">
    <w:p w:rsidR="00913A2C" w:rsidRDefault="00913A2C" w:rsidP="00EE1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9FA" w:rsidRDefault="00603B85">
    <w:pPr>
      <w:spacing w:after="60"/>
      <w:jc w:val="center"/>
    </w:pPr>
    <w:r>
      <w:rPr>
        <w:b/>
        <w:bCs/>
        <w:sz w:val="22"/>
        <w:szCs w:val="22"/>
      </w:rPr>
      <w:t>Табела. 9.6.</w:t>
    </w:r>
    <w:r>
      <w:rPr>
        <w:sz w:val="22"/>
        <w:szCs w:val="22"/>
      </w:rPr>
      <w:t xml:space="preserve"> Компетентност наставника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E19FA"/>
    <w:rsid w:val="00213B93"/>
    <w:rsid w:val="00603B85"/>
    <w:rsid w:val="00913A2C"/>
    <w:rsid w:val="00B03C02"/>
    <w:rsid w:val="00C60B13"/>
    <w:rsid w:val="00EE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E19FA"/>
    <w:pPr>
      <w:widowControl w:val="0"/>
    </w:pPr>
    <w:rPr>
      <w:rFonts w:cs="Arial Unicode MS"/>
      <w:color w:val="000000"/>
      <w:u w:color="000000"/>
    </w:rPr>
  </w:style>
  <w:style w:type="paragraph" w:styleId="Heading1">
    <w:name w:val="heading 1"/>
    <w:rsid w:val="00EE19FA"/>
    <w:pPr>
      <w:widowControl w:val="0"/>
      <w:outlineLvl w:val="0"/>
    </w:pPr>
    <w:rPr>
      <w:rFonts w:ascii="Calibri" w:eastAsia="Calibri" w:hAnsi="Calibri" w:cs="Calibri"/>
      <w:color w:val="000000"/>
      <w:u w:color="000000"/>
    </w:rPr>
  </w:style>
  <w:style w:type="paragraph" w:styleId="Heading4">
    <w:name w:val="heading 4"/>
    <w:rsid w:val="00EE19FA"/>
    <w:pPr>
      <w:widowControl w:val="0"/>
      <w:outlineLvl w:val="3"/>
    </w:pPr>
    <w:rPr>
      <w:rFonts w:ascii="Calibri" w:eastAsia="Calibri" w:hAnsi="Calibri" w:cs="Calibri"/>
      <w:color w:val="000000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9FA"/>
    <w:rPr>
      <w:u w:val="single"/>
    </w:rPr>
  </w:style>
  <w:style w:type="paragraph" w:customStyle="1" w:styleId="Kopf-undFuzeilen">
    <w:name w:val="Kopf- und Fußzeilen"/>
    <w:rsid w:val="00EE19F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Link">
    <w:name w:val="Link"/>
    <w:rsid w:val="00EE19FA"/>
    <w:rPr>
      <w:color w:val="0000FF"/>
      <w:u w:val="single" w:color="0000FF"/>
    </w:rPr>
  </w:style>
  <w:style w:type="character" w:customStyle="1" w:styleId="Hyperlink0">
    <w:name w:val="Hyperlink.0"/>
    <w:basedOn w:val="Link"/>
    <w:rsid w:val="00EE19FA"/>
    <w:rPr>
      <w:color w:val="000000"/>
      <w:u w:val="none" w:color="000000"/>
    </w:rPr>
  </w:style>
  <w:style w:type="character" w:customStyle="1" w:styleId="Hyperlink1">
    <w:name w:val="Hyperlink.1"/>
    <w:basedOn w:val="Link"/>
    <w:rsid w:val="00EE19FA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2895610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pubmed/27689551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6072031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pubmed.ncbi.nlm.nih.gov/34320012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ubmed.ncbi.nlm.nih.gov/3349837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Ambulanta</dc:creator>
  <cp:lastModifiedBy>ambulanta</cp:lastModifiedBy>
  <cp:revision>3</cp:revision>
  <dcterms:created xsi:type="dcterms:W3CDTF">2021-11-19T08:58:00Z</dcterms:created>
  <dcterms:modified xsi:type="dcterms:W3CDTF">2021-11-22T08:52:00Z</dcterms:modified>
</cp:coreProperties>
</file>